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0C3B" w:rsidRPr="00950C3B" w:rsidRDefault="00950C3B" w:rsidP="00950C3B">
      <w:pPr>
        <w:rPr>
          <w:b/>
          <w:i/>
          <w:sz w:val="28"/>
          <w:szCs w:val="28"/>
          <w:lang w:val="en-US" w:eastAsia="fr-FR" w:bidi="ar-SA"/>
        </w:rPr>
      </w:pPr>
      <w:proofErr w:type="spellStart"/>
      <w:r w:rsidRPr="00950C3B">
        <w:rPr>
          <w:b/>
          <w:i/>
          <w:sz w:val="28"/>
          <w:szCs w:val="28"/>
          <w:lang w:val="en-US" w:eastAsia="fr-FR" w:bidi="ar-SA"/>
        </w:rPr>
        <w:t>Peylin</w:t>
      </w:r>
      <w:proofErr w:type="spellEnd"/>
      <w:r w:rsidRPr="00950C3B">
        <w:rPr>
          <w:b/>
          <w:i/>
          <w:sz w:val="28"/>
          <w:szCs w:val="28"/>
          <w:lang w:val="en-US" w:eastAsia="fr-FR" w:bidi="ar-SA"/>
        </w:rPr>
        <w:t xml:space="preserve"> – questions related to the articles</w:t>
      </w:r>
    </w:p>
    <w:p w:rsidR="00950C3B" w:rsidRPr="00950C3B" w:rsidRDefault="00950C3B" w:rsidP="00950C3B">
      <w:pPr>
        <w:rPr>
          <w:sz w:val="28"/>
          <w:szCs w:val="28"/>
          <w:lang w:val="en-US" w:eastAsia="fr-FR" w:bidi="ar-SA"/>
        </w:rPr>
      </w:pPr>
    </w:p>
    <w:p w:rsidR="00950C3B" w:rsidRPr="00950C3B" w:rsidRDefault="00950C3B" w:rsidP="00950C3B">
      <w:pPr>
        <w:rPr>
          <w:rFonts w:ascii="Garamond" w:hAnsi="Garamond" w:cs="Garamond"/>
          <w:sz w:val="28"/>
          <w:szCs w:val="28"/>
          <w:lang w:val="fr-FR"/>
        </w:rPr>
      </w:pPr>
      <w:r w:rsidRPr="00950C3B">
        <w:rPr>
          <w:sz w:val="28"/>
          <w:szCs w:val="28"/>
          <w:lang w:val="fr-FR" w:eastAsia="fr-FR" w:bidi="ar-SA"/>
        </w:rPr>
        <w:t xml:space="preserve">a) </w:t>
      </w:r>
      <w:proofErr w:type="spellStart"/>
      <w:r w:rsidRPr="00950C3B">
        <w:rPr>
          <w:sz w:val="28"/>
          <w:szCs w:val="28"/>
          <w:lang w:val="fr-FR" w:eastAsia="fr-FR" w:bidi="ar-SA"/>
        </w:rPr>
        <w:t>Peylin</w:t>
      </w:r>
      <w:proofErr w:type="spellEnd"/>
      <w:r w:rsidRPr="00950C3B">
        <w:rPr>
          <w:sz w:val="28"/>
          <w:szCs w:val="28"/>
          <w:lang w:val="fr-FR" w:eastAsia="fr-FR" w:bidi="ar-SA"/>
        </w:rPr>
        <w:t xml:space="preserve"> et al, 2012, ACPD:</w:t>
      </w:r>
    </w:p>
    <w:p w:rsidR="00950C3B" w:rsidRPr="00950C3B" w:rsidRDefault="00950C3B" w:rsidP="00950C3B">
      <w:pPr>
        <w:rPr>
          <w:rFonts w:cs="Times New Roman"/>
          <w:sz w:val="28"/>
          <w:szCs w:val="28"/>
          <w:lang w:eastAsia="fr-FR" w:bidi="ar-SA"/>
        </w:rPr>
      </w:pPr>
      <w:r w:rsidRPr="00950C3B">
        <w:rPr>
          <w:rFonts w:ascii="Garamond" w:hAnsi="Garamond" w:cs="Garamond"/>
          <w:sz w:val="28"/>
          <w:szCs w:val="28"/>
        </w:rPr>
        <w:t xml:space="preserve">Q2.2) </w:t>
      </w:r>
      <w:proofErr w:type="gramStart"/>
      <w:r w:rsidRPr="00950C3B">
        <w:rPr>
          <w:sz w:val="28"/>
          <w:szCs w:val="28"/>
          <w:lang w:eastAsia="fr-FR" w:bidi="ar-SA"/>
        </w:rPr>
        <w:t>What</w:t>
      </w:r>
      <w:proofErr w:type="gramEnd"/>
      <w:r w:rsidRPr="00950C3B">
        <w:rPr>
          <w:sz w:val="28"/>
          <w:szCs w:val="28"/>
          <w:lang w:eastAsia="fr-FR" w:bidi="ar-SA"/>
        </w:rPr>
        <w:t xml:space="preserve"> are the major sources of divergences between the different estimates of natural CO2 fluxes from the global atmospheric inversions?</w:t>
      </w:r>
      <w:r w:rsidRPr="00950C3B">
        <w:rPr>
          <w:rFonts w:cs="Times New Roman"/>
          <w:sz w:val="28"/>
          <w:szCs w:val="28"/>
          <w:lang w:eastAsia="fr-FR" w:bidi="ar-SA"/>
        </w:rPr>
        <w:t xml:space="preserve"> </w:t>
      </w:r>
      <w:r w:rsidRPr="00950C3B">
        <w:rPr>
          <w:sz w:val="28"/>
          <w:szCs w:val="28"/>
          <w:lang w:eastAsia="fr-FR" w:bidi="ar-SA"/>
        </w:rPr>
        <w:t xml:space="preserve">What are the typical spatial and temporal scales at which these inversions produce or do not produce robust estimates of the natural fluxes? </w:t>
      </w:r>
    </w:p>
    <w:p w:rsidR="00950C3B" w:rsidRPr="00950C3B" w:rsidRDefault="00950C3B" w:rsidP="00950C3B">
      <w:pPr>
        <w:rPr>
          <w:rFonts w:cs="Times New Roman"/>
          <w:sz w:val="28"/>
          <w:szCs w:val="28"/>
          <w:lang w:eastAsia="fr-FR" w:bidi="ar-SA"/>
        </w:rPr>
      </w:pPr>
    </w:p>
    <w:p w:rsidR="00950C3B" w:rsidRPr="00950C3B" w:rsidRDefault="00950C3B" w:rsidP="00950C3B">
      <w:pPr>
        <w:rPr>
          <w:rFonts w:ascii="Garamond" w:hAnsi="Garamond" w:cs="Garamond"/>
          <w:sz w:val="28"/>
          <w:szCs w:val="28"/>
          <w:lang w:val="fr-FR"/>
        </w:rPr>
      </w:pPr>
      <w:r w:rsidRPr="00950C3B">
        <w:rPr>
          <w:sz w:val="28"/>
          <w:szCs w:val="28"/>
          <w:lang w:val="fr-FR" w:eastAsia="fr-FR" w:bidi="ar-SA"/>
        </w:rPr>
        <w:t xml:space="preserve">b) </w:t>
      </w:r>
      <w:proofErr w:type="spellStart"/>
      <w:r w:rsidRPr="00950C3B">
        <w:rPr>
          <w:sz w:val="28"/>
          <w:szCs w:val="28"/>
          <w:lang w:val="fr-FR" w:eastAsia="fr-FR" w:bidi="ar-SA"/>
        </w:rPr>
        <w:t>Lauvaux</w:t>
      </w:r>
      <w:proofErr w:type="spellEnd"/>
      <w:r w:rsidRPr="00950C3B">
        <w:rPr>
          <w:sz w:val="28"/>
          <w:szCs w:val="28"/>
          <w:lang w:val="fr-FR" w:eastAsia="fr-FR" w:bidi="ar-SA"/>
        </w:rPr>
        <w:t xml:space="preserve"> et al, 2012, ACP; </w:t>
      </w:r>
      <w:proofErr w:type="spellStart"/>
      <w:r w:rsidRPr="00950C3B">
        <w:rPr>
          <w:sz w:val="28"/>
          <w:szCs w:val="28"/>
          <w:lang w:val="fr-FR" w:eastAsia="fr-FR" w:bidi="ar-SA"/>
        </w:rPr>
        <w:t>Meesters</w:t>
      </w:r>
      <w:proofErr w:type="spellEnd"/>
      <w:r w:rsidRPr="00950C3B">
        <w:rPr>
          <w:sz w:val="28"/>
          <w:szCs w:val="28"/>
          <w:lang w:val="fr-FR" w:eastAsia="fr-FR" w:bidi="ar-SA"/>
        </w:rPr>
        <w:t xml:space="preserve"> et </w:t>
      </w:r>
      <w:proofErr w:type="gramStart"/>
      <w:r w:rsidRPr="00950C3B">
        <w:rPr>
          <w:sz w:val="28"/>
          <w:szCs w:val="28"/>
          <w:lang w:val="fr-FR" w:eastAsia="fr-FR" w:bidi="ar-SA"/>
        </w:rPr>
        <w:t>al.,</w:t>
      </w:r>
      <w:proofErr w:type="gramEnd"/>
      <w:r w:rsidRPr="00950C3B">
        <w:rPr>
          <w:sz w:val="28"/>
          <w:szCs w:val="28"/>
          <w:lang w:val="fr-FR" w:eastAsia="fr-FR" w:bidi="ar-SA"/>
        </w:rPr>
        <w:t xml:space="preserve"> 2012, JGR:</w:t>
      </w:r>
    </w:p>
    <w:p w:rsidR="00950C3B" w:rsidRPr="00950C3B" w:rsidRDefault="00950C3B" w:rsidP="00950C3B">
      <w:pPr>
        <w:rPr>
          <w:rFonts w:cs="Times New Roman"/>
          <w:sz w:val="28"/>
          <w:szCs w:val="28"/>
          <w:lang w:eastAsia="fr-FR" w:bidi="ar-SA"/>
        </w:rPr>
      </w:pPr>
      <w:r w:rsidRPr="00950C3B">
        <w:rPr>
          <w:rFonts w:ascii="Garamond" w:hAnsi="Garamond" w:cs="Garamond"/>
          <w:sz w:val="28"/>
          <w:szCs w:val="28"/>
        </w:rPr>
        <w:t xml:space="preserve">Q2.2) </w:t>
      </w:r>
      <w:proofErr w:type="gramStart"/>
      <w:r w:rsidRPr="00950C3B">
        <w:rPr>
          <w:sz w:val="28"/>
          <w:szCs w:val="28"/>
          <w:lang w:eastAsia="fr-FR" w:bidi="ar-SA"/>
        </w:rPr>
        <w:t>What</w:t>
      </w:r>
      <w:proofErr w:type="gramEnd"/>
      <w:r w:rsidRPr="00950C3B">
        <w:rPr>
          <w:sz w:val="28"/>
          <w:szCs w:val="28"/>
          <w:lang w:eastAsia="fr-FR" w:bidi="ar-SA"/>
        </w:rPr>
        <w:t xml:space="preserve"> are the benefits of conducting inversions of natural fluxes at higher resolution (in space and time) and over regional domains? What are the new difficulties that this raises?</w:t>
      </w:r>
    </w:p>
    <w:p w:rsidR="00950C3B" w:rsidRPr="00950C3B" w:rsidRDefault="00950C3B" w:rsidP="00950C3B">
      <w:pPr>
        <w:rPr>
          <w:rFonts w:cs="Times New Roman"/>
          <w:sz w:val="28"/>
          <w:szCs w:val="28"/>
          <w:lang w:eastAsia="fr-FR" w:bidi="ar-SA"/>
        </w:rPr>
      </w:pPr>
    </w:p>
    <w:p w:rsidR="00950C3B" w:rsidRPr="00950C3B" w:rsidRDefault="00950C3B" w:rsidP="00950C3B">
      <w:pPr>
        <w:rPr>
          <w:rFonts w:ascii="Garamond" w:hAnsi="Garamond" w:cs="Garamond"/>
          <w:sz w:val="28"/>
          <w:szCs w:val="28"/>
        </w:rPr>
      </w:pPr>
      <w:r w:rsidRPr="00950C3B">
        <w:rPr>
          <w:sz w:val="28"/>
          <w:szCs w:val="28"/>
          <w:lang w:eastAsia="fr-FR" w:bidi="ar-SA"/>
        </w:rPr>
        <w:t xml:space="preserve">c) Duren et al, 2012, NCC; Mac </w:t>
      </w:r>
      <w:proofErr w:type="spellStart"/>
      <w:r w:rsidRPr="00950C3B">
        <w:rPr>
          <w:sz w:val="28"/>
          <w:szCs w:val="28"/>
          <w:lang w:eastAsia="fr-FR" w:bidi="ar-SA"/>
        </w:rPr>
        <w:t>Kain</w:t>
      </w:r>
      <w:proofErr w:type="spellEnd"/>
      <w:r w:rsidRPr="00950C3B">
        <w:rPr>
          <w:sz w:val="28"/>
          <w:szCs w:val="28"/>
          <w:lang w:eastAsia="fr-FR" w:bidi="ar-SA"/>
        </w:rPr>
        <w:t xml:space="preserve"> et al, 2012, PNAS:</w:t>
      </w:r>
    </w:p>
    <w:p w:rsidR="00950C3B" w:rsidRPr="00950C3B" w:rsidRDefault="00950C3B" w:rsidP="00950C3B">
      <w:pPr>
        <w:rPr>
          <w:rFonts w:ascii="Garamond" w:hAnsi="Garamond" w:cs="Garamond"/>
          <w:sz w:val="28"/>
          <w:szCs w:val="28"/>
        </w:rPr>
      </w:pPr>
      <w:r w:rsidRPr="00950C3B">
        <w:rPr>
          <w:rFonts w:ascii="Garamond" w:hAnsi="Garamond" w:cs="Garamond"/>
          <w:sz w:val="28"/>
          <w:szCs w:val="28"/>
        </w:rPr>
        <w:t xml:space="preserve">Q2.3) </w:t>
      </w:r>
      <w:proofErr w:type="gramStart"/>
      <w:r w:rsidRPr="00950C3B">
        <w:rPr>
          <w:sz w:val="28"/>
          <w:szCs w:val="28"/>
          <w:lang w:eastAsia="fr-FR" w:bidi="ar-SA"/>
        </w:rPr>
        <w:t>What</w:t>
      </w:r>
      <w:proofErr w:type="gramEnd"/>
      <w:r w:rsidRPr="00950C3B">
        <w:rPr>
          <w:sz w:val="28"/>
          <w:szCs w:val="28"/>
          <w:lang w:eastAsia="fr-FR" w:bidi="ar-SA"/>
        </w:rPr>
        <w:t xml:space="preserve"> are the additional technical and scientific challenges that the estimate of anthropogenic CO2 fluxes raise for the regional inverse modelling? In addition to CO2 atmospheric mixing ratio, what type of measurements can be used to strengthen the inversion of anthropogenic </w:t>
      </w:r>
      <w:proofErr w:type="gramStart"/>
      <w:r w:rsidRPr="00950C3B">
        <w:rPr>
          <w:sz w:val="28"/>
          <w:szCs w:val="28"/>
          <w:lang w:eastAsia="fr-FR" w:bidi="ar-SA"/>
        </w:rPr>
        <w:t>fluxes ?</w:t>
      </w:r>
      <w:proofErr w:type="gramEnd"/>
    </w:p>
    <w:p w:rsidR="00C8111E" w:rsidRDefault="00C8111E"/>
    <w:sectPr w:rsidR="00C8111E" w:rsidSect="00C8111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DejaVu Sans">
    <w:altName w:val="MS Mincho"/>
    <w:charset w:val="80"/>
    <w:family w:val="auto"/>
    <w:pitch w:val="variable"/>
    <w:sig w:usb0="00000000" w:usb1="00000000" w:usb2="00000000" w:usb3="00000000" w:csb0="00000000" w:csb1="00000000"/>
  </w:font>
  <w:font w:name="Lohit Hindi">
    <w:altName w:val="MS Mincho"/>
    <w:charset w:val="80"/>
    <w:family w:val="auto"/>
    <w:pitch w:val="variable"/>
    <w:sig w:usb0="00000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50C3B"/>
    <w:rsid w:val="00950C3B"/>
    <w:rsid w:val="00C8111E"/>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0C3B"/>
    <w:pPr>
      <w:widowControl w:val="0"/>
      <w:suppressAutoHyphens/>
      <w:spacing w:after="0" w:line="240" w:lineRule="auto"/>
    </w:pPr>
    <w:rPr>
      <w:rFonts w:ascii="Times New Roman" w:eastAsia="DejaVu Sans" w:hAnsi="Times New Roman" w:cs="Lohit Hindi"/>
      <w:kern w:val="1"/>
      <w:sz w:val="24"/>
      <w:szCs w:val="24"/>
      <w:lang w:val="en-GB"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Words>
  <Characters>804</Characters>
  <Application>Microsoft Office Word</Application>
  <DocSecurity>0</DocSecurity>
  <Lines>6</Lines>
  <Paragraphs>1</Paragraphs>
  <ScaleCrop>false</ScaleCrop>
  <Company>cea</Company>
  <LinksUpToDate>false</LinksUpToDate>
  <CharactersWithSpaces>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Garrec</dc:creator>
  <cp:keywords/>
  <dc:description/>
  <cp:lastModifiedBy>Garrec</cp:lastModifiedBy>
  <cp:revision>1</cp:revision>
  <dcterms:created xsi:type="dcterms:W3CDTF">2013-03-18T18:05:00Z</dcterms:created>
  <dcterms:modified xsi:type="dcterms:W3CDTF">2013-03-18T18:05:00Z</dcterms:modified>
</cp:coreProperties>
</file>